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09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4"/>
      </w:tblGrid>
      <w:tr>
        <w:trPr>
          <w:trHeight w:val="603"/>
        </w:trPr>
        <w:tc>
          <w:tcPr>
            <w:tcW w:w="5094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wordWrap w:val="1"/>
        <w:spacing w:line="432" w:lineRule="auto"/>
        <w:jc w:val="center"/>
        <w:rPr>
          <w:rFonts w:ascii="굴림체" w:eastAsia="굴림체"/>
          <w:b/>
          <w:color w:val="000000"/>
          <w:sz w:val="32"/>
        </w:rPr>
      </w:pPr>
    </w:p>
    <w:p>
      <w:pPr>
        <w:pStyle w:val="16"/>
        <w:widowControl w:val="off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요금제도부-1079</w:t>
      </w:r>
      <w:r>
        <w:rPr>
          <w:rFonts w:ascii="굴림체"/>
          <w:spacing w:val="-1"/>
          <w:sz w:val="24"/>
        </w:rPr>
        <w:t>(20.10.27)</w:t>
      </w:r>
      <w:r>
        <w:rPr>
          <w:rFonts w:ascii="굴림체" w:eastAsia="굴림체"/>
          <w:spacing w:val="-7"/>
          <w:sz w:val="24"/>
        </w:rPr>
        <w:t>“20년 11월 도시가스용 천연가스 도매요금 알림”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2020.11.1.사용분부터 경기도 소비자요금이 아래와 같이 조정됨을 알려드립니다.</w:t>
      </w:r>
    </w:p>
    <w:p>
      <w:pPr>
        <w:pStyle w:val="16"/>
        <w:widowControl w:val="off"/>
        <w:wordWrap w:val="1"/>
        <w:spacing w:line="312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11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sz w:val="24"/>
        </w:rPr>
        <w:t xml:space="preserve">                                                 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39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>
        <w:trPr>
          <w:trHeight w:val="562"/>
        </w:trPr>
        <w:tc>
          <w:tcPr>
            <w:tcW w:w="3156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61"/>
        </w:trPr>
        <w:tc>
          <w:tcPr>
            <w:tcW w:w="1577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57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428"/>
        </w:trPr>
        <w:tc>
          <w:tcPr>
            <w:tcW w:w="1577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7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12.9520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12.8828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-0.5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502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12.4932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12.4240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6.7310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6.6791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-0.0519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-0.8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11.6480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11.5788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10.9516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10.8824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10.1502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10.0810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10.2134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10.1442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8.7305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8.6565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-0.0740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-0.8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3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9.7278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9.6586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10.9516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10.8824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10.1502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10.0810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10.2134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10.1442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left"/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737" w:left="737" w:header="397" w:footer="34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2020-10-27T06:35:20.313</dcterms:modified>
  <cp:version>0501.0001.01</cp:version>
</cp:coreProperties>
</file>